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B6D" w:rsidRDefault="001C7E68">
      <w:pPr>
        <w:tabs>
          <w:tab w:val="left" w:pos="9639"/>
        </w:tabs>
        <w:ind w:left="4253" w:firstLine="4819"/>
        <w:rPr>
          <w:sz w:val="28"/>
          <w:szCs w:val="28"/>
        </w:rPr>
      </w:pPr>
      <w:r>
        <w:rPr>
          <w:sz w:val="28"/>
          <w:szCs w:val="28"/>
        </w:rPr>
        <w:t>Приложение 8</w:t>
      </w:r>
    </w:p>
    <w:p w:rsidR="00C13B6D" w:rsidRDefault="001C7E68">
      <w:pPr>
        <w:tabs>
          <w:tab w:val="left" w:pos="9639"/>
        </w:tabs>
        <w:ind w:left="4253" w:firstLine="4819"/>
        <w:rPr>
          <w:sz w:val="28"/>
          <w:szCs w:val="28"/>
        </w:rPr>
      </w:pPr>
      <w:r>
        <w:rPr>
          <w:sz w:val="28"/>
          <w:szCs w:val="28"/>
        </w:rPr>
        <w:t>к Закону Оренбургской области</w:t>
      </w:r>
    </w:p>
    <w:p w:rsidR="00C13B6D" w:rsidRDefault="001C7E68">
      <w:pPr>
        <w:tabs>
          <w:tab w:val="left" w:pos="9639"/>
        </w:tabs>
        <w:ind w:left="4253" w:firstLine="4819"/>
        <w:rPr>
          <w:sz w:val="28"/>
          <w:szCs w:val="28"/>
        </w:rPr>
      </w:pPr>
      <w:r>
        <w:rPr>
          <w:sz w:val="28"/>
          <w:szCs w:val="28"/>
        </w:rPr>
        <w:t>«Об областном бюджете на 2024 год и</w:t>
      </w:r>
    </w:p>
    <w:p w:rsidR="00C13B6D" w:rsidRDefault="001C7E68">
      <w:pPr>
        <w:tabs>
          <w:tab w:val="left" w:pos="9639"/>
        </w:tabs>
        <w:ind w:left="4253" w:firstLine="4819"/>
        <w:rPr>
          <w:sz w:val="28"/>
          <w:szCs w:val="28"/>
        </w:rPr>
      </w:pPr>
      <w:r>
        <w:rPr>
          <w:sz w:val="28"/>
          <w:szCs w:val="28"/>
        </w:rPr>
        <w:t>на плановый период 2025 и 2026 годов»</w:t>
      </w:r>
    </w:p>
    <w:p w:rsidR="00C13B6D" w:rsidRDefault="001C7E68">
      <w:pPr>
        <w:tabs>
          <w:tab w:val="left" w:pos="9639"/>
        </w:tabs>
        <w:ind w:left="4253" w:firstLine="4819"/>
        <w:rPr>
          <w:sz w:val="28"/>
          <w:szCs w:val="28"/>
        </w:rPr>
      </w:pPr>
      <w:r>
        <w:rPr>
          <w:sz w:val="28"/>
          <w:szCs w:val="28"/>
        </w:rPr>
        <w:t>от 14 декабря 2023 года</w:t>
      </w:r>
    </w:p>
    <w:p w:rsidR="00C13B6D" w:rsidRDefault="001C7E68">
      <w:pPr>
        <w:tabs>
          <w:tab w:val="left" w:pos="9639"/>
        </w:tabs>
        <w:ind w:left="4253" w:firstLine="4819"/>
        <w:rPr>
          <w:sz w:val="28"/>
          <w:szCs w:val="28"/>
        </w:rPr>
      </w:pPr>
      <w:r>
        <w:rPr>
          <w:sz w:val="28"/>
          <w:szCs w:val="28"/>
        </w:rPr>
        <w:t>№ 993/400-VII-ОЗ</w:t>
      </w:r>
    </w:p>
    <w:p w:rsidR="00C13B6D" w:rsidRDefault="001C7E68">
      <w:pPr>
        <w:tabs>
          <w:tab w:val="left" w:pos="9639"/>
        </w:tabs>
        <w:ind w:left="4253" w:firstLine="4819"/>
        <w:rPr>
          <w:sz w:val="28"/>
          <w:szCs w:val="28"/>
        </w:rPr>
      </w:pPr>
      <w:r>
        <w:rPr>
          <w:sz w:val="28"/>
          <w:szCs w:val="28"/>
        </w:rPr>
        <w:t xml:space="preserve">(в редакции Закона Оренбургской </w:t>
      </w:r>
    </w:p>
    <w:p w:rsidR="00C13B6D" w:rsidRDefault="001C7E68">
      <w:pPr>
        <w:tabs>
          <w:tab w:val="left" w:pos="9639"/>
        </w:tabs>
        <w:ind w:left="4253" w:firstLine="4819"/>
        <w:rPr>
          <w:sz w:val="28"/>
          <w:szCs w:val="28"/>
        </w:rPr>
      </w:pPr>
      <w:r>
        <w:rPr>
          <w:sz w:val="28"/>
          <w:szCs w:val="28"/>
        </w:rPr>
        <w:t xml:space="preserve">области «О внесении изменений в </w:t>
      </w:r>
    </w:p>
    <w:p w:rsidR="00C13B6D" w:rsidRDefault="001C7E68">
      <w:pPr>
        <w:tabs>
          <w:tab w:val="left" w:pos="9639"/>
        </w:tabs>
        <w:ind w:left="4253" w:firstLine="4819"/>
        <w:rPr>
          <w:sz w:val="28"/>
          <w:szCs w:val="28"/>
        </w:rPr>
      </w:pPr>
      <w:r>
        <w:rPr>
          <w:sz w:val="28"/>
          <w:szCs w:val="28"/>
        </w:rPr>
        <w:t>Закон Оренбургской области</w:t>
      </w:r>
    </w:p>
    <w:p w:rsidR="00C13B6D" w:rsidRDefault="001C7E68">
      <w:pPr>
        <w:tabs>
          <w:tab w:val="left" w:pos="9639"/>
        </w:tabs>
        <w:ind w:left="4253" w:firstLine="4819"/>
        <w:rPr>
          <w:sz w:val="28"/>
          <w:szCs w:val="28"/>
        </w:rPr>
      </w:pPr>
      <w:r>
        <w:rPr>
          <w:sz w:val="28"/>
          <w:szCs w:val="28"/>
        </w:rPr>
        <w:t xml:space="preserve">«Об </w:t>
      </w:r>
      <w:bookmarkStart w:id="0" w:name="_GoBack"/>
      <w:r>
        <w:rPr>
          <w:sz w:val="28"/>
          <w:szCs w:val="28"/>
        </w:rPr>
        <w:t>областном бюджете на 2024 год</w:t>
      </w:r>
    </w:p>
    <w:p w:rsidR="00C13B6D" w:rsidRDefault="001C7E68">
      <w:pPr>
        <w:tabs>
          <w:tab w:val="left" w:pos="9639"/>
        </w:tabs>
        <w:ind w:left="4253" w:firstLine="4819"/>
        <w:rPr>
          <w:sz w:val="28"/>
          <w:szCs w:val="28"/>
        </w:rPr>
      </w:pPr>
      <w:r>
        <w:rPr>
          <w:sz w:val="28"/>
          <w:szCs w:val="28"/>
        </w:rPr>
        <w:t>и на плановый период 2025 и 2026 годов»</w:t>
      </w:r>
    </w:p>
    <w:p w:rsidR="00F73F9E" w:rsidRPr="00F73F9E" w:rsidRDefault="00F73F9E" w:rsidP="00F73F9E">
      <w:pPr>
        <w:tabs>
          <w:tab w:val="left" w:pos="9639"/>
        </w:tabs>
        <w:ind w:left="4253" w:firstLine="4819"/>
        <w:rPr>
          <w:sz w:val="28"/>
          <w:szCs w:val="28"/>
        </w:rPr>
      </w:pPr>
      <w:r w:rsidRPr="00F73F9E">
        <w:rPr>
          <w:sz w:val="28"/>
          <w:szCs w:val="28"/>
        </w:rPr>
        <w:t>от 16 декабря 2024 года</w:t>
      </w:r>
    </w:p>
    <w:p w:rsidR="00C13B6D" w:rsidRDefault="00F73F9E" w:rsidP="00F73F9E">
      <w:pPr>
        <w:tabs>
          <w:tab w:val="left" w:pos="9639"/>
        </w:tabs>
        <w:ind w:left="4253" w:firstLine="4819"/>
        <w:rPr>
          <w:sz w:val="28"/>
          <w:szCs w:val="28"/>
        </w:rPr>
      </w:pPr>
      <w:r w:rsidRPr="00F73F9E">
        <w:rPr>
          <w:sz w:val="28"/>
          <w:szCs w:val="28"/>
        </w:rPr>
        <w:t>№ 1365/583-VII-ОЗ)</w:t>
      </w:r>
    </w:p>
    <w:bookmarkEnd w:id="0"/>
    <w:p w:rsidR="00C13B6D" w:rsidRDefault="001C7E68">
      <w:pPr>
        <w:pStyle w:val="a4"/>
        <w:ind w:left="8789" w:firstLine="0"/>
        <w:rPr>
          <w:szCs w:val="28"/>
        </w:rPr>
      </w:pPr>
      <w:r>
        <w:rPr>
          <w:szCs w:val="28"/>
        </w:rPr>
        <w:t xml:space="preserve"> </w:t>
      </w:r>
    </w:p>
    <w:p w:rsidR="00C13B6D" w:rsidRDefault="00C13B6D">
      <w:pPr>
        <w:pStyle w:val="a4"/>
        <w:ind w:left="8789" w:firstLine="0"/>
        <w:rPr>
          <w:szCs w:val="28"/>
        </w:rPr>
      </w:pPr>
    </w:p>
    <w:p w:rsidR="00C13B6D" w:rsidRDefault="001C7E68">
      <w:pPr>
        <w:pStyle w:val="a4"/>
        <w:ind w:left="4536" w:right="-143" w:firstLine="4253"/>
        <w:rPr>
          <w:szCs w:val="28"/>
        </w:rPr>
      </w:pPr>
      <w:r>
        <w:rPr>
          <w:szCs w:val="28"/>
        </w:rPr>
        <w:t xml:space="preserve"> </w:t>
      </w:r>
    </w:p>
    <w:p w:rsidR="00C13B6D" w:rsidRDefault="001C7E68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финансирования дефицита</w:t>
      </w:r>
    </w:p>
    <w:p w:rsidR="00C13B6D" w:rsidRDefault="001C7E68">
      <w:pPr>
        <w:jc w:val="center"/>
        <w:rPr>
          <w:sz w:val="28"/>
          <w:szCs w:val="28"/>
        </w:rPr>
      </w:pPr>
      <w:r>
        <w:rPr>
          <w:sz w:val="28"/>
          <w:szCs w:val="28"/>
        </w:rPr>
        <w:t>областного бюджета на 2024 год и на плановый период 2025 и 2026 годов</w:t>
      </w:r>
    </w:p>
    <w:p w:rsidR="00C13B6D" w:rsidRDefault="00C13B6D">
      <w:pPr>
        <w:jc w:val="center"/>
        <w:rPr>
          <w:sz w:val="28"/>
          <w:szCs w:val="28"/>
        </w:rPr>
      </w:pPr>
    </w:p>
    <w:p w:rsidR="00C13B6D" w:rsidRDefault="001C7E68">
      <w:pPr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704"/>
        <w:gridCol w:w="1809"/>
        <w:gridCol w:w="1984"/>
        <w:gridCol w:w="1701"/>
      </w:tblGrid>
      <w:tr w:rsidR="00C13B6D">
        <w:trPr>
          <w:cantSplit/>
          <w:tblHeader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6D" w:rsidRDefault="001C7E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6D" w:rsidRDefault="001C7E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6D" w:rsidRDefault="001C7E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6D" w:rsidRDefault="001C7E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6D" w:rsidRDefault="001C7E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</w:tr>
      <w:tr w:rsidR="00C13B6D">
        <w:trPr>
          <w:cantSplit/>
          <w:trHeight w:val="898"/>
        </w:trPr>
        <w:tc>
          <w:tcPr>
            <w:tcW w:w="3652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000 01 00 00 00 00 0000 000</w:t>
            </w:r>
          </w:p>
        </w:tc>
        <w:tc>
          <w:tcPr>
            <w:tcW w:w="5704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809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C13B6D">
            <w:pPr>
              <w:jc w:val="right"/>
              <w:rPr>
                <w:b/>
                <w:color w:val="000000"/>
                <w:sz w:val="28"/>
                <w:szCs w:val="28"/>
                <w:highlight w:val="yellow"/>
              </w:rPr>
            </w:pPr>
          </w:p>
          <w:p w:rsidR="00C13B6D" w:rsidRDefault="00C13B6D">
            <w:pPr>
              <w:jc w:val="right"/>
              <w:rPr>
                <w:b/>
                <w:color w:val="000000"/>
                <w:sz w:val="28"/>
                <w:szCs w:val="28"/>
                <w:highlight w:val="yellow"/>
              </w:rPr>
            </w:pPr>
          </w:p>
          <w:p w:rsidR="00C13B6D" w:rsidRDefault="001C7E6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23 275 056,5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C13B6D">
            <w:pPr>
              <w:jc w:val="right"/>
              <w:rPr>
                <w:b/>
                <w:color w:val="000000"/>
                <w:sz w:val="28"/>
                <w:szCs w:val="28"/>
                <w:highlight w:val="yellow"/>
              </w:rPr>
            </w:pPr>
          </w:p>
          <w:p w:rsidR="00C13B6D" w:rsidRDefault="00C13B6D">
            <w:pPr>
              <w:jc w:val="right"/>
              <w:rPr>
                <w:b/>
                <w:color w:val="000000"/>
                <w:sz w:val="28"/>
                <w:szCs w:val="28"/>
                <w:highlight w:val="yellow"/>
              </w:rPr>
            </w:pPr>
          </w:p>
          <w:p w:rsidR="00C13B6D" w:rsidRDefault="001C7E68">
            <w:pPr>
              <w:jc w:val="right"/>
              <w:rPr>
                <w:b/>
                <w:color w:val="000000"/>
                <w:sz w:val="28"/>
                <w:szCs w:val="28"/>
                <w:highlight w:val="yellow"/>
              </w:rPr>
            </w:pPr>
            <w:r>
              <w:rPr>
                <w:b/>
                <w:color w:val="000000"/>
                <w:sz w:val="28"/>
                <w:szCs w:val="28"/>
              </w:rPr>
              <w:t>3 292 507,3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C13B6D">
            <w:pPr>
              <w:jc w:val="right"/>
              <w:rPr>
                <w:b/>
                <w:color w:val="000000"/>
                <w:sz w:val="28"/>
                <w:szCs w:val="28"/>
                <w:highlight w:val="yellow"/>
              </w:rPr>
            </w:pPr>
          </w:p>
          <w:p w:rsidR="00C13B6D" w:rsidRDefault="00C13B6D">
            <w:pPr>
              <w:jc w:val="right"/>
              <w:rPr>
                <w:b/>
                <w:color w:val="000000"/>
                <w:sz w:val="28"/>
                <w:szCs w:val="28"/>
                <w:highlight w:val="yellow"/>
              </w:rPr>
            </w:pPr>
          </w:p>
          <w:p w:rsidR="00C13B6D" w:rsidRDefault="001C7E6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266 518,0</w:t>
            </w:r>
          </w:p>
        </w:tc>
      </w:tr>
      <w:tr w:rsidR="00C13B6D">
        <w:trPr>
          <w:cantSplit/>
          <w:trHeight w:val="898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000 01 01 00 00 00 0000 000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-999 685,0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2 127 982,0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2 055 334,0</w:t>
            </w:r>
          </w:p>
        </w:tc>
      </w:tr>
      <w:tr w:rsidR="00C13B6D">
        <w:trPr>
          <w:cantSplit/>
          <w:trHeight w:val="898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000 01 01 00 00 00 0000 700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3 250 000,0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2 300 000,0</w:t>
            </w:r>
          </w:p>
        </w:tc>
      </w:tr>
      <w:tr w:rsidR="00C13B6D">
        <w:trPr>
          <w:cantSplit/>
          <w:trHeight w:val="898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000 01 01 00 00 02 0000 710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Размещение государственных ценных бумаг </w:t>
            </w:r>
            <w:r>
              <w:rPr>
                <w:sz w:val="28"/>
                <w:szCs w:val="28"/>
              </w:rPr>
              <w:t>субъектов</w:t>
            </w:r>
            <w:r>
              <w:rPr>
                <w:color w:val="000000"/>
                <w:sz w:val="28"/>
                <w:szCs w:val="28"/>
              </w:rPr>
              <w:t xml:space="preserve">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3 250 000,0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2 300 000,0</w:t>
            </w:r>
          </w:p>
        </w:tc>
      </w:tr>
      <w:tr w:rsidR="00C13B6D">
        <w:trPr>
          <w:cantSplit/>
          <w:trHeight w:val="898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000 01 01 00 00 00 0000 800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-999 685,0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-1 122 018,0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-244 666,0</w:t>
            </w:r>
          </w:p>
        </w:tc>
      </w:tr>
      <w:tr w:rsidR="00C13B6D">
        <w:trPr>
          <w:cantSplit/>
          <w:trHeight w:val="898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000 01 01 00 00 02 0000 810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-999 685,0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-1 122 018,0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-244 666,0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000 01 02 00 00 00 0000 000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000 01 02 00 00 00 0000 700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10 000 000,0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6 000 000,0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000 01 02 00 00 02 0000 710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Привлечение кредитов от кредитных организаций бюджетами субъектов Российской Федерации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10 000 000,0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6 000 000,0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000 01 02 00 00 00 0000 800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-10 000 000,0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-6 000 000,0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000 01 02 00 00 02 0000 810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-10 000 000,0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-6 000 000,0</w:t>
            </w:r>
          </w:p>
        </w:tc>
      </w:tr>
      <w:tr w:rsidR="00C13B6D">
        <w:trPr>
          <w:cantSplit/>
          <w:trHeight w:val="611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000 01 03 00 00 00 0000 000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-2 047 040,0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688 488,6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-2 004 513,1</w:t>
            </w:r>
          </w:p>
        </w:tc>
      </w:tr>
      <w:tr w:rsidR="00C13B6D">
        <w:trPr>
          <w:cantSplit/>
          <w:trHeight w:val="611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-2 047 040,0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688 488,6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-2 004 513,1</w:t>
            </w:r>
          </w:p>
        </w:tc>
      </w:tr>
      <w:tr w:rsidR="00C13B6D">
        <w:trPr>
          <w:cantSplit/>
          <w:trHeight w:val="611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000 01 03 01 00 00 0000 700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2 402 246,0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2 723 419,1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000 01 03 01 00 02 0000 710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2 402 246,0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2 723 419,1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000 01 03 01 00 02 0001 710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предоставленные за счет средств федерального бюджета на пополнение остатка средств на едином счете бюджета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000 01 03 01 00 02 2700 710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предоставленные бюджетам субъектов Российской Федерации на финансовое обеспечение реализации инфраструктурных проектов, возврат которых осуществляется субъектом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2 402 246,0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2 723 419,1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000 01 03 01 00 00 0000 800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-4 449 286,0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-2 034 930,5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-2 004 513,1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000 01 03 01 00 02 0000 810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-4 449 286,0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-2 034 930,5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-2 004 513,1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000 01 03 01 00 02 0001 810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за счет средств федерального бюджета на пополнение остатка средств на едином счете бюджета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000 01 03 01 00 02 2700 810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бюджетам субъектов Российской Федерации на финансовое обеспечение реализации инфраструктурных проектов, возврат которых осуществляется субъектом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-104 442,9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-204 843,2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-376 432,2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</w:pPr>
            <w:r>
              <w:rPr>
                <w:color w:val="000000"/>
                <w:sz w:val="28"/>
                <w:szCs w:val="28"/>
              </w:rPr>
              <w:lastRenderedPageBreak/>
              <w:t>000 01 03 01 00 02 5600 810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 в целях опережающего финансового обеспечения 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инфраструктуры, возврат которых осуществляется субъектом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-4 243 839,9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000 01 03 01 00 02 5700 810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Специальные казначейские кредиты, возврат которых осуществляется субъектом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-49 697,6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-49 697,6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000 01 03 01 00 02 2900 810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организаций, возврат которых осуществляется субъектом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-447 109,5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-447 109,5</w:t>
            </w:r>
          </w:p>
        </w:tc>
      </w:tr>
      <w:tr w:rsidR="00C13B6D">
        <w:trPr>
          <w:cantSplit/>
          <w:trHeight w:val="391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000 01 03 01 00 02 5002 810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для частичного покрытия дефицитов бюджетов субъектов Российской Федерации, возврат которых осуществляется субъектом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-101 003,2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1 333 280,2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-1 131 273,8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26 262 152,0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232 905,2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-24 079,4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000 01 06 00 00 00 0000 000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59 629,5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243 131,5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239 776,5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59 629,5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243 131,5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239 776,5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000 01 06 05 02 02 0000 640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259 629,5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343 131,5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339 776,5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000 01 06 05 02 02 2603 640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для покрытия временных кассовых разрывов, возникающих при исполнении бюджетов муниципальных районов (городских округов)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100 000,0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100 000,0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000 01 06 05 02 02 2900 640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 бюджетам городских округов для погашения долговых обязательств муниципальных образований в виде обязательств по кредитам, полученным муниципальными образованиями от кредитных организаций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143 859,5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221 311,5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221 311,5</w:t>
            </w:r>
          </w:p>
        </w:tc>
      </w:tr>
      <w:tr w:rsidR="00C13B6D">
        <w:trPr>
          <w:cantSplit/>
          <w:trHeight w:val="1311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000 01 06 05 02 02 5005 640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для частичного покрытия дефицитов бюджетов, возврат которых осуществляется муниципальными районами (городскими округами)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15 770,0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21 820,0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18 465,0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000 01 06 05 02 02 0000 540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-200 000,0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-100 000,0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000 01 06 05 02 02 2603 540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для покрытия временных кассовых разрывов, возникающих при исполнении бюджетов муниципальных районов (городских округов)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-100 000,0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-100 000,0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000 01 06 05 02 02 5005 540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для частичного покрытия дефицитов бюджетов муниципальных районов (городских округов), возврат которых осуществляется муниципальными районами (городскими округами)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-100 000,0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000 02 00 00 00 00 0000 000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ИСТОЧНИКИ ВНЕШНЕГО ФИНАНСИРОВАНИЯ ДЕФИЦИТОВ БЮДЖЕТОВ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-266 518,0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-266 518,0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-266 518,0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000 02 05 00 00 00 0000 000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 в иностранной валюте, предоставленные Российской Федерацией в рамках использования целевых иностранных кредитов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-266 518,0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-266 518,0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-266 518,0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000 02 05 00 00 00 0000 800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бюджетных кредитов в иностранной валюте, предоставленных Российской Федерации в рамках использования целевых иностранных кредитов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-266 518,0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-266 518,0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-266 518,0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000 02 05 00 00 02 0000 820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бюджетами субъектов Российской Федерации бюджетных кредитов в иностранной валюте, предоставленных Российской Федерацией в рамках использования целевых иностранных кредитов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-266 518,0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-266 518,0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-266 518,0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C13B6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C13B6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C13B6D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C13B6D">
            <w:pPr>
              <w:ind w:left="-57" w:right="-57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C13B6D">
            <w:pPr>
              <w:ind w:left="-57" w:right="-57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C13B6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 ИСТОЧНИКОВ ФИНАНСИРОВАНИЯ ДЕФИЦИТОВ БЮДЖЕТОВ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23 008 538,5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3 025 989,3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</w:tbl>
    <w:p w:rsidR="00531B27" w:rsidRDefault="00531B27"/>
    <w:sectPr w:rsidR="00531B27">
      <w:headerReference w:type="even" r:id="rId6"/>
      <w:headerReference w:type="default" r:id="rId7"/>
      <w:pgSz w:w="16838" w:h="11906" w:orient="landscape"/>
      <w:pgMar w:top="709" w:right="851" w:bottom="1135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B6D" w:rsidRDefault="001C7E68">
      <w:r>
        <w:separator/>
      </w:r>
    </w:p>
  </w:endnote>
  <w:endnote w:type="continuationSeparator" w:id="0">
    <w:p w:rsidR="00C13B6D" w:rsidRDefault="001C7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B6D" w:rsidRDefault="001C7E68">
      <w:r>
        <w:separator/>
      </w:r>
    </w:p>
  </w:footnote>
  <w:footnote w:type="continuationSeparator" w:id="0">
    <w:p w:rsidR="00C13B6D" w:rsidRDefault="001C7E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B6D" w:rsidRDefault="001C7E68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</w:rPr>
      <w:t>4</w:t>
    </w:r>
    <w:r>
      <w:rPr>
        <w:rStyle w:val="afb"/>
      </w:rPr>
      <w:fldChar w:fldCharType="end"/>
    </w:r>
  </w:p>
  <w:p w:rsidR="00C13B6D" w:rsidRDefault="00C13B6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B6D" w:rsidRDefault="001C7E68">
    <w:pPr>
      <w:pStyle w:val="ab"/>
      <w:framePr w:wrap="around" w:vAnchor="text" w:hAnchor="margin" w:xAlign="center" w:y="1"/>
      <w:rPr>
        <w:rStyle w:val="afb"/>
        <w:sz w:val="24"/>
        <w:szCs w:val="24"/>
      </w:rPr>
    </w:pPr>
    <w:r>
      <w:rPr>
        <w:rStyle w:val="afb"/>
        <w:sz w:val="24"/>
        <w:szCs w:val="24"/>
      </w:rPr>
      <w:fldChar w:fldCharType="begin"/>
    </w:r>
    <w:r>
      <w:rPr>
        <w:rStyle w:val="afb"/>
        <w:sz w:val="24"/>
        <w:szCs w:val="24"/>
      </w:rPr>
      <w:instrText xml:space="preserve">PAGE  </w:instrText>
    </w:r>
    <w:r>
      <w:rPr>
        <w:rStyle w:val="afb"/>
        <w:sz w:val="24"/>
        <w:szCs w:val="24"/>
      </w:rPr>
      <w:fldChar w:fldCharType="separate"/>
    </w:r>
    <w:r w:rsidR="00F73F9E">
      <w:rPr>
        <w:rStyle w:val="afb"/>
        <w:noProof/>
        <w:sz w:val="24"/>
        <w:szCs w:val="24"/>
      </w:rPr>
      <w:t>2</w:t>
    </w:r>
    <w:r>
      <w:rPr>
        <w:rStyle w:val="afb"/>
        <w:sz w:val="24"/>
        <w:szCs w:val="24"/>
      </w:rPr>
      <w:fldChar w:fldCharType="end"/>
    </w:r>
  </w:p>
  <w:p w:rsidR="00C13B6D" w:rsidRDefault="00C13B6D">
    <w:pPr>
      <w:pStyle w:val="ab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6D"/>
    <w:rsid w:val="001C7E68"/>
    <w:rsid w:val="00531B27"/>
    <w:rsid w:val="005F6DFF"/>
    <w:rsid w:val="00C13B6D"/>
    <w:rsid w:val="00F7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B81346-2F92-4874-8D82-999D4734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99"/>
    <w:qFormat/>
    <w:pPr>
      <w:widowControl w:val="0"/>
      <w:ind w:firstLine="720"/>
      <w:jc w:val="both"/>
    </w:pPr>
    <w:rPr>
      <w:sz w:val="28"/>
      <w:lang w:eastAsia="ru-RU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  <w:style w:type="paragraph" w:styleId="afc">
    <w:name w:val="Body Text Indent"/>
    <w:basedOn w:val="a"/>
    <w:pPr>
      <w:ind w:left="4536"/>
    </w:pPr>
    <w:rPr>
      <w:sz w:val="28"/>
      <w:szCs w:val="28"/>
    </w:rPr>
  </w:style>
  <w:style w:type="paragraph" w:styleId="25">
    <w:name w:val="Body Text 2"/>
    <w:basedOn w:val="a"/>
    <w:link w:val="26"/>
    <w:rPr>
      <w:b/>
      <w:sz w:val="28"/>
      <w:lang w:val="en-US" w:eastAsia="en-US"/>
    </w:rPr>
  </w:style>
  <w:style w:type="character" w:customStyle="1" w:styleId="26">
    <w:name w:val="Основной текст 2 Знак"/>
    <w:link w:val="25"/>
    <w:rPr>
      <w:b/>
      <w:sz w:val="28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en-US" w:eastAsia="en-US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 w:cs="Courier New"/>
    </w:rPr>
  </w:style>
  <w:style w:type="character" w:customStyle="1" w:styleId="a6">
    <w:name w:val="Название Знак"/>
    <w:link w:val="a5"/>
    <w:uiPriority w:val="10"/>
    <w:rPr>
      <w:rFonts w:ascii="Cambria" w:eastAsia="Times New Roman" w:hAnsi="Cambria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6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дом</Company>
  <LinksUpToDate>false</LinksUpToDate>
  <CharactersWithSpaces>8625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Наташа</dc:creator>
  <cp:lastModifiedBy>Киреева Елена Александровна</cp:lastModifiedBy>
  <cp:revision>4</cp:revision>
  <dcterms:created xsi:type="dcterms:W3CDTF">2024-11-18T12:28:00Z</dcterms:created>
  <dcterms:modified xsi:type="dcterms:W3CDTF">2024-12-20T06:27:00Z</dcterms:modified>
  <cp:version>983040</cp:version>
</cp:coreProperties>
</file>